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ResumeName"/>
      </w:pPr>
      <w:r>
        <w:rPr>
          <w:rFonts w:ascii="Arial" w:hAnsi="Arial"/>
        </w:rPr>
        <w:t>Justin Steyer</w:t>
      </w:r>
    </w:p>
    <w:p>
      <w:pPr>
        <w:pStyle w:val="ResumeContact"/>
      </w:pPr>
      <w:r>
        <w:rPr>
          <w:rFonts w:ascii="Arial" w:hAnsi="Arial"/>
        </w:rPr>
        <w:t xml:space="preserve">Tacoma, WA | 253-651-4913 | jsteyer@gmail.com | </w:t>
      </w:r>
      <w:hyperlink r:id="rId9">
        <w:r>
          <w:rPr>
            <w:u w:val="none"/>
          </w:rPr>
          <w:t>linkedin.com/in/jsteyer</w:t>
        </w:r>
      </w:hyperlink>
      <w:r>
        <w:rPr>
          <w:rFonts w:ascii="Arial" w:hAnsi="Arial"/>
        </w:rPr>
        <w:t xml:space="preserve"> | </w:t>
      </w:r>
      <w:hyperlink r:id="rId10">
        <w:r>
          <w:rPr>
            <w:u w:val="none"/>
          </w:rPr>
          <w:t>justinsteyer.com</w:t>
        </w:r>
      </w:hyperlink>
    </w:p>
    <w:p>
      <w:pPr>
        <w:pStyle w:val="ResumeHeadline"/>
        <w:pBdr>
          <w:bottom w:val="single" w:sz="10" w:space="8" w:color="5B6F39"/>
        </w:pBdr>
      </w:pPr>
      <w:r>
        <w:rPr>
          <w:rFonts w:ascii="Arial" w:hAnsi="Arial"/>
        </w:rPr>
        <w:t>TECHNOLOGY OPERATIONS | SYSTEMS LEADERSHIP | DIGITAL INFRASTRUCTURE</w:t>
      </w:r>
    </w:p>
    <w:p>
      <w:pPr>
        <w:pStyle w:val="ResumeSummary"/>
      </w:pPr>
      <w:r>
        <w:rPr>
          <w:rFonts w:ascii="Arial" w:hAnsi="Arial"/>
        </w:rPr>
        <w:t>Senior technology and operations leader with 15+ years building reliable systems, modernizing workflows, and leading complex programs across public media, digital platforms, and always-on operations. Trusted by executives, technical teams, vendors, and non-technical staff to turn ambiguity into clear plans, keep critical services running, and connect technology work to organizational priorities.</w:t>
      </w:r>
    </w:p>
    <w:p>
      <w:pPr>
        <w:pStyle w:val="ResumeSummary"/>
      </w:pPr>
      <w:r>
        <w:rPr>
          <w:rFonts w:ascii="Arial" w:hAnsi="Arial"/>
        </w:rPr>
        <w:t>Leads at the intersection of systems and people: platform operations, infrastructure coordination, reporting workflows, vendor delivery, change readiness, and practical security adoption. Known for calm execution, clear communication, and durable operating practices that make complex work easier to sustain.</w:t>
      </w:r>
    </w:p>
    <w:p>
      <w:pPr>
        <w:pStyle w:val="ResumeSection"/>
        <w:keepNext/>
        <w:pBdr>
          <w:bottom w:val="single" w:sz="10" w:space="8" w:color="5B6F39"/>
        </w:pBdr>
      </w:pPr>
      <w:r>
        <w:rPr>
          <w:rFonts w:ascii="Arial" w:hAnsi="Arial"/>
        </w:rPr>
        <w:t>CORE STRENGTHS</w:t>
      </w:r>
    </w:p>
    <w:p>
      <w:pPr>
        <w:pStyle w:val="ResumeSkillLine"/>
      </w:pPr>
      <w:r>
        <w:rPr>
          <w:rFonts w:ascii="Arial" w:hAnsi="Arial"/>
        </w:rPr>
        <w:t>Technology Operations | Platform Operations | Digital Infrastructure | CMS / Publishing Systems | Streaming &amp; Mobile Platforms | Workflow Modernization | Reporting Systems | Vendor Management | Cross-Functional Execution | Infrastructure Coordination | Security Readiness | Operational Continuity | Executive Communication | Change Readiness</w:t>
      </w:r>
    </w:p>
    <w:p>
      <w:pPr>
        <w:pStyle w:val="ResumeSection"/>
        <w:keepNext/>
        <w:pBdr>
          <w:bottom w:val="single" w:sz="10" w:space="8" w:color="5B6F39"/>
        </w:pBdr>
      </w:pPr>
      <w:r>
        <w:rPr>
          <w:rFonts w:ascii="Arial" w:hAnsi="Arial"/>
        </w:rPr>
        <w:t>PROFESSIONAL EXPERIENCE</w:t>
      </w:r>
    </w:p>
    <w:p>
      <w:pPr>
        <w:pStyle w:val="ResumeEmployer"/>
        <w:keepNext/>
      </w:pPr>
      <w:r>
        <w:rPr>
          <w:rFonts w:ascii="Arial" w:hAnsi="Arial"/>
        </w:rPr>
        <w:t>KNKX / Pacific Public Media - Tacoma &amp; Seattle, WA</w:t>
      </w:r>
    </w:p>
    <w:p>
      <w:pPr>
        <w:pStyle w:val="ResumeRole"/>
        <w:keepNext/>
      </w:pPr>
      <w:r>
        <w:rPr>
          <w:rFonts w:ascii="Arial" w:hAnsi="Arial"/>
        </w:rPr>
        <w:t>Technology &amp; Digital Operations Consultant | 2025-Present</w:t>
      </w:r>
    </w:p>
    <w:p>
      <w:pPr>
        <w:pStyle w:val="ListBullet"/>
      </w:pPr>
      <w:r>
        <w:rPr>
          <w:rFonts w:ascii="Arial" w:hAnsi="Arial"/>
        </w:rPr>
        <w:t>Support operational continuity, knowledge transfer, platform/vendor questions, and detailed SoundExchange royalty reporting workflows after organizational restructuring.</w:t>
      </w:r>
    </w:p>
    <w:p>
      <w:pPr>
        <w:pStyle w:val="ListBullet"/>
      </w:pPr>
      <w:r>
        <w:rPr>
          <w:rFonts w:ascii="Arial" w:hAnsi="Arial"/>
        </w:rPr>
        <w:t>Build and maintain repeatable reporting workflows for structured data preparation, validation, formatting, and deadline management, reducing compliance and handoff risk.</w:t>
      </w:r>
    </w:p>
    <w:p>
      <w:pPr>
        <w:pStyle w:val="ListBullet"/>
      </w:pPr>
      <w:r>
        <w:rPr>
          <w:rFonts w:ascii="Arial" w:hAnsi="Arial"/>
        </w:rPr>
        <w:t>Provide documentation and technical guidance for ongoing digital operations, platform maintenance, vendor transitions, and Google Workspace/MFA support.</w:t>
      </w:r>
    </w:p>
    <w:p>
      <w:pPr>
        <w:pStyle w:val="ResumeRole"/>
        <w:keepNext/>
      </w:pPr>
      <w:r>
        <w:rPr>
          <w:rFonts w:ascii="Arial" w:hAnsi="Arial"/>
        </w:rPr>
        <w:t>Director of Digital Media &amp; Technology | 2015-2025</w:t>
      </w:r>
    </w:p>
    <w:p>
      <w:pPr>
        <w:pStyle w:val="ListBullet"/>
      </w:pPr>
      <w:r>
        <w:rPr>
          <w:rFonts w:ascii="Arial" w:hAnsi="Arial"/>
        </w:rPr>
        <w:t>Directed digital media operations, technology planning, engineering coordination, vendor relationships, CMS platforms, streaming services, and cross-functional technology initiatives for a multi-site public media organization operating in a 24/7 service environment.</w:t>
      </w:r>
    </w:p>
    <w:p>
      <w:pPr>
        <w:pStyle w:val="ListBullet"/>
      </w:pPr>
      <w:r>
        <w:rPr>
          <w:rFonts w:ascii="Arial" w:hAnsi="Arial"/>
        </w:rPr>
        <w:t>Managed approximately $2M in annual department budget responsibility and up to five direct reports across Digital Media, IT, and Engineering while balancing strategy, daily operations, support needs, and vendor delivery.</w:t>
      </w:r>
    </w:p>
    <w:p>
      <w:pPr>
        <w:pStyle w:val="ListBullet"/>
      </w:pPr>
      <w:r>
        <w:rPr>
          <w:rFonts w:ascii="Arial" w:hAnsi="Arial"/>
        </w:rPr>
        <w:t>Built reliable systems across web, CMS, mobile app, streaming, analytics, internal workflows, collaboration tools, security readiness, and broadcast/studio technology.</w:t>
      </w:r>
    </w:p>
    <w:p>
      <w:pPr>
        <w:pStyle w:val="ListBullet"/>
      </w:pPr>
      <w:r>
        <w:rPr>
          <w:rFonts w:ascii="Arial" w:hAnsi="Arial"/>
        </w:rPr>
        <w:t>Modernized publishing and platform operations across WordPress, Drupal, and Grove/Brightspot, coordinating migrations, workflow changes, user support, and continuity during platform transitions.</w:t>
      </w:r>
    </w:p>
    <w:p>
      <w:pPr>
        <w:pStyle w:val="ListBullet"/>
      </w:pPr>
      <w:r>
        <w:rPr>
          <w:rFonts w:ascii="Arial" w:hAnsi="Arial"/>
        </w:rPr>
        <w:t>Led technology planning for Tacoma headquarters and Seattle studio/performance-space capital programs, coordinating multi-site networking, server/TOC rooms, broadcast infrastructure, studio/AV systems, vendor work, operational readiness, and cutover planning.</w:t>
      </w:r>
    </w:p>
    <w:p>
      <w:pPr>
        <w:pStyle w:val="ListBullet"/>
      </w:pPr>
      <w:r>
        <w:rPr>
          <w:rFonts w:ascii="Arial" w:hAnsi="Arial"/>
        </w:rPr>
        <w:t>Led or supported RFP development, vendor evaluation and selection, implementation planning, escalation management, and long-term relationships across IT/MSP, security, telecom, streaming, mobile app, CMS, facilities, and studio/broadcast partners.</w:t>
      </w:r>
    </w:p>
    <w:p>
      <w:pPr>
        <w:pStyle w:val="ListBullet"/>
      </w:pPr>
      <w:r>
        <w:rPr>
          <w:rFonts w:ascii="Arial" w:hAnsi="Arial"/>
        </w:rPr>
        <w:t>Created dashboards, SOPs, audit materials, documentation, and knowledge-transfer practices that made recurring technology, reporting, and operational workflows easier to sustain.</w:t>
      </w:r>
    </w:p>
    <w:p>
      <w:pPr>
        <w:pStyle w:val="ListBullet"/>
      </w:pPr>
      <w:r>
        <w:rPr>
          <w:rFonts w:ascii="Arial" w:hAnsi="Arial"/>
        </w:rPr>
        <w:t>Coordinated cybersecurity assessments, insurance-related technology reviews, vendor-led penetration testing, MFA/security-policy work, and remediation tracking.</w:t>
      </w:r>
    </w:p>
    <w:p>
      <w:pPr>
        <w:pStyle w:val="ListBullet"/>
      </w:pPr>
      <w:r>
        <w:rPr>
          <w:rFonts w:ascii="Arial" w:hAnsi="Arial"/>
        </w:rPr>
        <w:t>Presented technology strategy, operational risk, infrastructure planning, dashboards, and modernization priorities to executive leadership and board stakeholders.</w:t>
      </w:r>
    </w:p>
    <w:p>
      <w:pPr>
        <w:pStyle w:val="ResumeRole"/>
        <w:keepNext/>
      </w:pPr>
      <w:r>
        <w:rPr>
          <w:rFonts w:ascii="Arial" w:hAnsi="Arial"/>
        </w:rPr>
        <w:t>Director of Digital Strategy | 2014-2015</w:t>
      </w:r>
    </w:p>
    <w:p>
      <w:pPr>
        <w:pStyle w:val="ListBullet"/>
      </w:pPr>
      <w:r>
        <w:rPr>
          <w:rFonts w:ascii="Arial" w:hAnsi="Arial"/>
        </w:rPr>
        <w:t>Led digital audience, platform, publishing, and analytics strategy across web, mobile, streaming, and content distribution systems.</w:t>
      </w:r>
    </w:p>
    <w:p>
      <w:pPr>
        <w:pStyle w:val="ListBullet"/>
      </w:pPr>
      <w:r>
        <w:rPr>
          <w:rFonts w:ascii="Arial" w:hAnsi="Arial"/>
        </w:rPr>
        <w:t>Modernized digital publishing workflows and aligned editorial, engineering, marketing, development, and leadership stakeholders around practical platform improvements.</w:t>
      </w:r>
    </w:p>
    <w:p>
      <w:pPr>
        <w:pStyle w:val="ResumeRole"/>
        <w:keepNext/>
      </w:pPr>
      <w:r>
        <w:rPr>
          <w:rFonts w:ascii="Arial" w:hAnsi="Arial"/>
        </w:rPr>
        <w:t>Multimedia Manager | 2009-2014</w:t>
      </w:r>
    </w:p>
    <w:p>
      <w:pPr>
        <w:pStyle w:val="ListBullet"/>
      </w:pPr>
      <w:r>
        <w:rPr>
          <w:rFonts w:ascii="Arial" w:hAnsi="Arial"/>
        </w:rPr>
        <w:t>Managed daily digital publishing operations across web, CMS, audio, video, social, and multimedia workflows.</w:t>
      </w:r>
    </w:p>
    <w:p>
      <w:pPr>
        <w:pStyle w:val="ListBullet"/>
      </w:pPr>
      <w:r>
        <w:rPr>
          <w:rFonts w:ascii="Arial" w:hAnsi="Arial"/>
        </w:rPr>
        <w:t>Built early platform workflows, staff documentation, and production practices that supported reliable audience-facing digital operations.</w:t>
      </w:r>
    </w:p>
    <w:p>
      <w:pPr>
        <w:pStyle w:val="ResumeRole"/>
        <w:keepNext/>
      </w:pPr>
      <w:r>
        <w:rPr>
          <w:rFonts w:ascii="Arial" w:hAnsi="Arial"/>
        </w:rPr>
        <w:t>Producer, Sports | The Seattle Times | 2008-2009</w:t>
      </w:r>
    </w:p>
    <w:p>
      <w:pPr>
        <w:pStyle w:val="ListBullet"/>
      </w:pPr>
      <w:r>
        <w:rPr>
          <w:rFonts w:ascii="Arial" w:hAnsi="Arial"/>
        </w:rPr>
        <w:t>Supported deadline-driven digital newsroom operations through web publishing, multimedia production, asset coordination, and rapid content updates.</w:t>
      </w:r>
    </w:p>
    <w:p>
      <w:pPr>
        <w:pStyle w:val="ResumeSection"/>
        <w:keepNext/>
        <w:pBdr>
          <w:bottom w:val="single" w:sz="10" w:space="8" w:color="5B6F39"/>
        </w:pBdr>
      </w:pPr>
      <w:r>
        <w:rPr>
          <w:rFonts w:ascii="Arial" w:hAnsi="Arial"/>
        </w:rPr>
        <w:t>SELECTED TECHNOLOGY OPERATIONS EVIDENCE</w:t>
      </w:r>
    </w:p>
    <w:p>
      <w:pPr>
        <w:pStyle w:val="ResumeHighlight"/>
        <w:keepNext/>
      </w:pPr>
      <w:r>
        <w:rPr>
          <w:rFonts w:ascii="Arial" w:hAnsi="Arial"/>
        </w:rPr>
        <w:t>KNKX Independence and Operating Continuity</w:t>
      </w:r>
    </w:p>
    <w:p>
      <w:pPr>
        <w:pStyle w:val="ListBullet"/>
      </w:pPr>
      <w:r>
        <w:rPr>
          <w:rFonts w:ascii="Arial" w:hAnsi="Arial"/>
        </w:rPr>
        <w:t>Led Digital, IT, and Engineering workstreams through KNKX independence, including technology separation from PLU, collaboration systems, email/domain changes, telephony, digital continuity, vendor coordination, board education, and executive/board-facing reporting.</w:t>
      </w:r>
    </w:p>
    <w:p>
      <w:pPr>
        <w:pStyle w:val="ListBullet"/>
      </w:pPr>
      <w:r>
        <w:rPr>
          <w:rFonts w:ascii="Arial" w:hAnsi="Arial"/>
        </w:rPr>
        <w:t>Helped preserve broadcast, streaming, web, mobile, and internal service continuity during a high-stakes organizational transition tied to an approximate $7M community acquisition campaign.</w:t>
      </w:r>
    </w:p>
    <w:p>
      <w:pPr>
        <w:pStyle w:val="ResumeHighlight"/>
        <w:keepNext/>
      </w:pPr>
      <w:r>
        <w:rPr>
          <w:rFonts w:ascii="Arial" w:hAnsi="Arial"/>
        </w:rPr>
        <w:t>Tacoma and Seattle Technology Buildouts</w:t>
      </w:r>
    </w:p>
    <w:p>
      <w:pPr>
        <w:pStyle w:val="ListBullet"/>
      </w:pPr>
      <w:r>
        <w:rPr>
          <w:rFonts w:ascii="Arial" w:hAnsi="Arial"/>
        </w:rPr>
        <w:t>Led technology requirements and cross-functional execution for Tacoma and Seattle facility programs, connecting broadcast paths, network/server/TOC rooms, studio/AV systems, telephony, vendor coordination, and operational readiness.</w:t>
      </w:r>
    </w:p>
    <w:p>
      <w:pPr>
        <w:pStyle w:val="ListBullet"/>
      </w:pPr>
      <w:r>
        <w:rPr>
          <w:rFonts w:ascii="Arial" w:hAnsi="Arial"/>
        </w:rPr>
        <w:t>Applied Tacoma lessons to Seattle vendor strategy, studio/AV design, multi-site standards, and public-facing performance technology while keeping security work grounded in readiness, assessment coordination, risk communication, and remediation tracking.</w:t>
      </w:r>
    </w:p>
    <w:p>
      <w:pPr>
        <w:pStyle w:val="ResumeSection"/>
        <w:keepNext/>
        <w:pBdr>
          <w:bottom w:val="single" w:sz="10" w:space="8" w:color="5B6F39"/>
        </w:pBdr>
      </w:pPr>
      <w:r>
        <w:rPr>
          <w:rFonts w:ascii="Arial" w:hAnsi="Arial"/>
        </w:rPr>
        <w:t>TECHNOLOGY &amp; PLATFORMS</w:t>
      </w:r>
    </w:p>
    <w:p>
      <w:pPr>
        <w:pStyle w:val="ResumeSkillLine"/>
      </w:pPr>
      <w:r>
        <w:rPr>
          <w:rFonts w:ascii="Arial" w:hAnsi="Arial"/>
        </w:rPr>
        <w:t>Google Workspace | MFA / Security Policies | Microsoft 365 / Azure AD Exposure | WordPress | Drupal | Grove/Brightspot | GA4 | Smartsheet | Monday.com | Airtable | Excel / Power Query | Google Sheets | SoundExchange Reporting | Streaming Platforms | Mobile App Vendors | Vendor-Managed IT/MSP | Telecom | Network / Server / TOC Rooms | Studio / AV Systems</w:t>
      </w:r>
    </w:p>
    <w:p>
      <w:pPr>
        <w:pStyle w:val="ResumeSection"/>
        <w:keepNext/>
        <w:pBdr>
          <w:bottom w:val="single" w:sz="10" w:space="8" w:color="5B6F39"/>
        </w:pBdr>
      </w:pPr>
      <w:r>
        <w:rPr>
          <w:rFonts w:ascii="Arial" w:hAnsi="Arial"/>
        </w:rPr>
        <w:t>EDUCATION</w:t>
      </w:r>
    </w:p>
    <w:p>
      <w:pPr>
        <w:pStyle w:val="ResumeEducation"/>
      </w:pPr>
      <w:r>
        <w:rPr>
          <w:rFonts w:ascii="Arial" w:hAnsi="Arial"/>
        </w:rPr>
        <w:t>MBA, Technology &amp; Innovation Management | Pacific Lutheran University</w:t>
      </w:r>
    </w:p>
    <w:p>
      <w:pPr>
        <w:pStyle w:val="ResumeEducation"/>
      </w:pPr>
      <w:r>
        <w:rPr>
          <w:rFonts w:ascii="Arial" w:hAnsi="Arial"/>
        </w:rPr>
        <w:t>BA, Visual Journalism | Western Washington University</w:t>
      </w:r>
    </w:p>
    <w:p>
      <w:pPr>
        <w:pStyle w:val="ResumeEducation"/>
      </w:pPr>
      <w:r>
        <w:rPr>
          <w:rFonts w:ascii="Arial" w:hAnsi="Arial"/>
        </w:rPr>
        <w:t>AAS, Associate of Arts and Sciences | Tacoma Community College</w:t>
      </w:r>
    </w:p>
    <w:p>
      <w:pPr>
        <w:pStyle w:val="ResumeSection"/>
        <w:keepNext/>
        <w:pBdr>
          <w:bottom w:val="single" w:sz="10" w:space="8" w:color="5B6F39"/>
        </w:pBdr>
      </w:pPr>
      <w:r>
        <w:rPr>
          <w:rFonts w:ascii="Arial" w:hAnsi="Arial"/>
        </w:rPr>
        <w:t>PROFESSIONAL DEVELOPMENT</w:t>
      </w:r>
    </w:p>
    <w:p>
      <w:pPr>
        <w:pStyle w:val="ResumeEducation"/>
      </w:pPr>
      <w:r>
        <w:rPr>
          <w:rFonts w:ascii="Arial" w:hAnsi="Arial"/>
          <w:sz w:val="19"/>
        </w:rPr>
        <w:t>Google Advanced Data Analytics Certificate: Foundations of Data Science completed; Python coursework in progress</w:t>
      </w:r>
    </w:p>
    <w:sectPr w:rsidR="00FC693F" w:rsidRPr="0006063C" w:rsidSect="00034616">
      <w:pgSz w:w="12240" w:h="15840"/>
      <w:pgMar w:top="749" w:right="893" w:bottom="749"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59" w:lineRule="auto"/>
    </w:pPr>
    <w:rPr>
      <w:rFonts w:ascii="Arial" w:hAnsi="Arial" w:eastAsia="Arial"/>
      <w:color w:val="181818"/>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28" w:line="250" w:lineRule="auto"/>
      <w:ind w:left="230" w:hanging="144"/>
      <w:contextualSpacing/>
    </w:pPr>
    <w:rPr>
      <w:rFonts w:ascii="Arial" w:hAnsi="Arial" w:eastAsia="Arial"/>
      <w:color w:val="181818"/>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Name">
    <w:name w:val="Resume Name"/>
    <w:basedOn w:val="Normal"/>
    <w:pPr>
      <w:spacing w:before="0" w:after="180" w:line="240" w:lineRule="auto"/>
      <w:jc w:val="center"/>
    </w:pPr>
    <w:rPr>
      <w:rFonts w:ascii="Arial" w:hAnsi="Arial" w:eastAsia="Arial"/>
      <w:b/>
      <w:color w:val="2B3927"/>
      <w:sz w:val="40"/>
    </w:rPr>
  </w:style>
  <w:style w:type="paragraph" w:customStyle="1" w:styleId="ResumeContact">
    <w:name w:val="Resume Contact"/>
    <w:basedOn w:val="Normal"/>
    <w:pPr>
      <w:spacing w:before="0" w:after="300" w:line="240" w:lineRule="auto"/>
      <w:jc w:val="center"/>
    </w:pPr>
    <w:rPr>
      <w:rFonts w:ascii="Arial" w:hAnsi="Arial" w:eastAsia="Arial"/>
      <w:b w:val="0"/>
      <w:color w:val="464646"/>
      <w:sz w:val="18"/>
    </w:rPr>
  </w:style>
  <w:style w:type="paragraph" w:customStyle="1" w:styleId="ResumeHeadline">
    <w:name w:val="Resume Headline"/>
    <w:basedOn w:val="Normal"/>
    <w:pPr>
      <w:spacing w:before="0" w:after="280" w:line="240" w:lineRule="auto"/>
      <w:jc w:val="center"/>
    </w:pPr>
    <w:rPr>
      <w:rFonts w:ascii="Arial" w:hAnsi="Arial" w:eastAsia="Arial"/>
      <w:b/>
      <w:color w:val="5B6F39"/>
      <w:sz w:val="20"/>
    </w:rPr>
  </w:style>
  <w:style w:type="paragraph" w:customStyle="1" w:styleId="ResumeSummary">
    <w:name w:val="Resume Summary"/>
    <w:basedOn w:val="Normal"/>
    <w:pPr>
      <w:spacing w:before="0" w:after="160" w:line="302" w:lineRule="auto"/>
    </w:pPr>
    <w:rPr>
      <w:rFonts w:ascii="Arial" w:hAnsi="Arial" w:eastAsia="Arial"/>
      <w:b w:val="0"/>
      <w:color w:val="181818"/>
      <w:sz w:val="21"/>
    </w:rPr>
  </w:style>
  <w:style w:type="paragraph" w:customStyle="1" w:styleId="ResumeSection">
    <w:name w:val="Resume Section"/>
    <w:basedOn w:val="Normal"/>
    <w:pPr>
      <w:spacing w:before="220" w:after="220" w:line="240" w:lineRule="auto"/>
    </w:pPr>
    <w:rPr>
      <w:rFonts w:ascii="Arial" w:hAnsi="Arial" w:eastAsia="Arial"/>
      <w:b/>
      <w:color w:val="2B3927"/>
      <w:sz w:val="22"/>
    </w:rPr>
  </w:style>
  <w:style w:type="paragraph" w:customStyle="1" w:styleId="ResumeEmployer">
    <w:name w:val="Resume Employer"/>
    <w:basedOn w:val="Normal"/>
    <w:pPr>
      <w:spacing w:before="100" w:after="100" w:line="240" w:lineRule="auto"/>
    </w:pPr>
    <w:rPr>
      <w:rFonts w:ascii="Arial" w:hAnsi="Arial" w:eastAsia="Arial"/>
      <w:b/>
      <w:color w:val="181818"/>
      <w:sz w:val="21"/>
    </w:rPr>
  </w:style>
  <w:style w:type="paragraph" w:customStyle="1" w:styleId="ResumeRole">
    <w:name w:val="Resume Role"/>
    <w:basedOn w:val="Normal"/>
    <w:pPr>
      <w:spacing w:before="0" w:after="60" w:line="240" w:lineRule="auto"/>
    </w:pPr>
    <w:rPr>
      <w:rFonts w:ascii="Arial" w:hAnsi="Arial" w:eastAsia="Arial"/>
      <w:b/>
      <w:color w:val="464646"/>
      <w:sz w:val="20"/>
    </w:rPr>
  </w:style>
  <w:style w:type="paragraph" w:customStyle="1" w:styleId="ResumeHighlight">
    <w:name w:val="Resume Highlight"/>
    <w:basedOn w:val="Normal"/>
    <w:pPr>
      <w:spacing w:before="120" w:after="60" w:line="240" w:lineRule="auto"/>
    </w:pPr>
    <w:rPr>
      <w:rFonts w:ascii="Arial" w:hAnsi="Arial" w:eastAsia="Arial"/>
      <w:b/>
      <w:color w:val="5B6F39"/>
      <w:sz w:val="20"/>
    </w:rPr>
  </w:style>
  <w:style w:type="paragraph" w:customStyle="1" w:styleId="ResumeSkillLine">
    <w:name w:val="Resume Skill Line"/>
    <w:basedOn w:val="Normal"/>
    <w:pPr>
      <w:spacing w:before="0" w:after="180" w:line="281" w:lineRule="auto"/>
    </w:pPr>
    <w:rPr>
      <w:rFonts w:ascii="Arial" w:hAnsi="Arial" w:eastAsia="Arial"/>
      <w:b w:val="0"/>
      <w:color w:val="181818"/>
      <w:sz w:val="19"/>
    </w:rPr>
  </w:style>
  <w:style w:type="paragraph" w:customStyle="1" w:styleId="ResumeEducation">
    <w:name w:val="Resume Education"/>
    <w:basedOn w:val="Normal"/>
    <w:pPr>
      <w:spacing w:before="0" w:after="80" w:line="254" w:lineRule="auto"/>
    </w:pPr>
    <w:rPr>
      <w:rFonts w:ascii="Arial" w:hAnsi="Arial" w:eastAsia="Arial"/>
      <w:b w:val="0"/>
      <w:color w:val="181818"/>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linkedin.com/in/jsteyer" TargetMode="External"/><Relationship Id="rId10" Type="http://schemas.openxmlformats.org/officeDocument/2006/relationships/hyperlink" Target="https://justinste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2013-12-23T23:15:00Z</dcterms:created>
  <dcterms:modified xsi:type="dcterms:W3CDTF">2013-12-23T23:15:00Z</dcterms:modified>
  <cp:category/>
</cp:coreProperties>
</file>